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AD1" w14:textId="275FD51A" w:rsidR="007B317C" w:rsidRPr="00115B54" w:rsidRDefault="008A46A5" w:rsidP="00115B54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1"/>
          <w:szCs w:val="21"/>
        </w:rPr>
      </w:pPr>
      <w:r w:rsidRPr="00115B54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52CC5A" wp14:editId="78E8D72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95425" cy="7734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54">
        <w:rPr>
          <w:rFonts w:ascii="Arial" w:hAnsi="Arial" w:cs="Arial"/>
          <w:b/>
          <w:sz w:val="21"/>
          <w:szCs w:val="21"/>
        </w:rPr>
        <w:t xml:space="preserve">                                                               </w:t>
      </w:r>
    </w:p>
    <w:p w14:paraId="0F202A54" w14:textId="030E39F9" w:rsidR="009A428E" w:rsidRPr="00115B54" w:rsidRDefault="005F3229" w:rsidP="005F322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1"/>
          <w:szCs w:val="21"/>
        </w:rPr>
      </w:pPr>
      <w:r w:rsidRPr="00115B54">
        <w:rPr>
          <w:rFonts w:ascii="Arial" w:hAnsi="Arial" w:cs="Arial"/>
          <w:b/>
          <w:sz w:val="21"/>
          <w:szCs w:val="21"/>
        </w:rPr>
        <w:t xml:space="preserve">                  </w:t>
      </w:r>
      <w:r w:rsidR="009A428E" w:rsidRPr="00115B54">
        <w:rPr>
          <w:rFonts w:ascii="Arial" w:hAnsi="Arial" w:cs="Arial"/>
          <w:b/>
          <w:sz w:val="21"/>
          <w:szCs w:val="21"/>
        </w:rPr>
        <w:t>ENTIDAD SUPERIOR DE FISCALIZACIÓN DEL ESTADO DE QUERÉTARO</w:t>
      </w:r>
    </w:p>
    <w:p w14:paraId="6004870B" w14:textId="77777777" w:rsidR="00BA4D47" w:rsidRPr="00115B54" w:rsidRDefault="00BA4D47" w:rsidP="007B317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1"/>
          <w:szCs w:val="21"/>
        </w:rPr>
      </w:pPr>
    </w:p>
    <w:p w14:paraId="28BDA97C" w14:textId="77777777" w:rsidR="00BA4D47" w:rsidRPr="00115B54" w:rsidRDefault="00BA4D47" w:rsidP="007B317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1"/>
          <w:szCs w:val="21"/>
        </w:rPr>
      </w:pPr>
    </w:p>
    <w:p w14:paraId="0F1BB086" w14:textId="77777777" w:rsidR="006335BE" w:rsidRPr="00C67EA6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C67EA6">
        <w:rPr>
          <w:rFonts w:ascii="Arial" w:hAnsi="Arial" w:cs="Arial"/>
          <w:b/>
          <w:sz w:val="18"/>
          <w:szCs w:val="18"/>
        </w:rPr>
        <w:t>RELACIÓN DE LAS CUENTAS BANCARIAS PRODUCTIVAS ESPECÍFICAS, EN LAS CUALES SE DEPOSITARON LOS RECURSOS FEDERALES TRANSFERIDOS</w:t>
      </w:r>
      <w:r w:rsidR="00E1144D" w:rsidRPr="00C67EA6">
        <w:rPr>
          <w:rFonts w:ascii="Arial" w:hAnsi="Arial" w:cs="Arial"/>
          <w:b/>
          <w:sz w:val="18"/>
          <w:szCs w:val="18"/>
        </w:rPr>
        <w:t xml:space="preserve"> </w:t>
      </w:r>
    </w:p>
    <w:p w14:paraId="344FBA2E" w14:textId="644DE2FB" w:rsidR="009A428E" w:rsidRPr="00C67EA6" w:rsidRDefault="009A428E" w:rsidP="00270E6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67EA6">
        <w:rPr>
          <w:rFonts w:ascii="Arial" w:hAnsi="Arial" w:cs="Arial"/>
          <w:b/>
          <w:sz w:val="18"/>
          <w:szCs w:val="18"/>
        </w:rPr>
        <w:t xml:space="preserve">Del 1 de </w:t>
      </w:r>
      <w:r w:rsidR="00F769FC">
        <w:rPr>
          <w:rFonts w:ascii="Arial" w:hAnsi="Arial" w:cs="Arial"/>
          <w:b/>
          <w:sz w:val="18"/>
          <w:szCs w:val="18"/>
        </w:rPr>
        <w:t xml:space="preserve">Enero al </w:t>
      </w:r>
      <w:r w:rsidR="00430E5A">
        <w:rPr>
          <w:rFonts w:ascii="Arial" w:hAnsi="Arial" w:cs="Arial"/>
          <w:b/>
          <w:sz w:val="18"/>
          <w:szCs w:val="18"/>
        </w:rPr>
        <w:t>3</w:t>
      </w:r>
      <w:r w:rsidR="00C27203">
        <w:rPr>
          <w:rFonts w:ascii="Arial" w:hAnsi="Arial" w:cs="Arial"/>
          <w:b/>
          <w:sz w:val="18"/>
          <w:szCs w:val="18"/>
        </w:rPr>
        <w:t>0</w:t>
      </w:r>
      <w:r w:rsidR="00220843">
        <w:rPr>
          <w:rFonts w:ascii="Arial" w:hAnsi="Arial" w:cs="Arial"/>
          <w:b/>
          <w:sz w:val="18"/>
          <w:szCs w:val="18"/>
        </w:rPr>
        <w:t xml:space="preserve"> de </w:t>
      </w:r>
      <w:r w:rsidR="00FA093C">
        <w:rPr>
          <w:rFonts w:ascii="Arial" w:hAnsi="Arial" w:cs="Arial"/>
          <w:b/>
          <w:sz w:val="18"/>
          <w:szCs w:val="18"/>
        </w:rPr>
        <w:t>Junio</w:t>
      </w:r>
      <w:r w:rsidR="00F769FC">
        <w:rPr>
          <w:rFonts w:ascii="Arial" w:hAnsi="Arial" w:cs="Arial"/>
          <w:b/>
          <w:sz w:val="18"/>
          <w:szCs w:val="18"/>
        </w:rPr>
        <w:t xml:space="preserve"> de 202</w:t>
      </w:r>
      <w:r w:rsidR="00AE4E01">
        <w:rPr>
          <w:rFonts w:ascii="Arial" w:hAnsi="Arial" w:cs="Arial"/>
          <w:b/>
          <w:sz w:val="18"/>
          <w:szCs w:val="18"/>
        </w:rPr>
        <w:t>3</w:t>
      </w:r>
    </w:p>
    <w:p w14:paraId="71A644B5" w14:textId="77777777" w:rsidR="006335BE" w:rsidRPr="00C67EA6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</w:p>
    <w:p w14:paraId="12A6D755" w14:textId="3ABBA4CB" w:rsidR="00F156C7" w:rsidRPr="00C67EA6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C67EA6">
        <w:rPr>
          <w:rFonts w:ascii="Arial" w:eastAsia="Calibri" w:hAnsi="Arial" w:cs="Arial"/>
          <w:spacing w:val="-1"/>
          <w:sz w:val="18"/>
          <w:szCs w:val="18"/>
        </w:rPr>
        <w:t xml:space="preserve">Con el propósito de dar cumplimiento </w:t>
      </w:r>
      <w:r w:rsidR="00203297" w:rsidRPr="00C67EA6">
        <w:rPr>
          <w:rFonts w:ascii="Arial" w:eastAsia="Calibri" w:hAnsi="Arial" w:cs="Arial"/>
          <w:spacing w:val="-1"/>
          <w:sz w:val="18"/>
          <w:szCs w:val="18"/>
        </w:rPr>
        <w:t>al artículo</w:t>
      </w:r>
      <w:r w:rsidRPr="00C67EA6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924C30" w:rsidRPr="00C67EA6">
        <w:rPr>
          <w:rFonts w:ascii="Arial" w:eastAsia="Calibri" w:hAnsi="Arial" w:cs="Arial"/>
          <w:spacing w:val="-1"/>
          <w:sz w:val="18"/>
          <w:szCs w:val="18"/>
        </w:rPr>
        <w:t>69</w:t>
      </w:r>
      <w:r w:rsidRPr="00C67EA6">
        <w:rPr>
          <w:rFonts w:ascii="Arial" w:eastAsia="Calibri" w:hAnsi="Arial" w:cs="Arial"/>
          <w:spacing w:val="-1"/>
          <w:sz w:val="18"/>
          <w:szCs w:val="18"/>
        </w:rPr>
        <w:t xml:space="preserve"> de la Ley General de Contabilidad Gubernamental (LGCG)</w:t>
      </w:r>
      <w:r w:rsidR="00203297" w:rsidRPr="00C67EA6">
        <w:rPr>
          <w:rFonts w:ascii="Arial" w:eastAsia="Calibri" w:hAnsi="Arial" w:cs="Arial"/>
          <w:spacing w:val="-1"/>
          <w:sz w:val="18"/>
          <w:szCs w:val="18"/>
        </w:rPr>
        <w:t>, en</w:t>
      </w:r>
      <w:r w:rsidR="005E767D" w:rsidRPr="00C67EA6">
        <w:rPr>
          <w:rFonts w:ascii="Arial" w:eastAsia="Calibri" w:hAnsi="Arial" w:cs="Arial"/>
          <w:spacing w:val="-1"/>
          <w:sz w:val="18"/>
          <w:szCs w:val="18"/>
        </w:rPr>
        <w:t xml:space="preserve"> seguida</w:t>
      </w:r>
      <w:r w:rsidRPr="00C67EA6">
        <w:rPr>
          <w:rFonts w:ascii="Arial" w:eastAsia="Calibri" w:hAnsi="Arial" w:cs="Arial"/>
          <w:spacing w:val="-1"/>
          <w:sz w:val="18"/>
          <w:szCs w:val="18"/>
        </w:rPr>
        <w:t>,</w:t>
      </w:r>
      <w:r w:rsidR="006335BE" w:rsidRPr="00C67EA6">
        <w:rPr>
          <w:rFonts w:ascii="Arial" w:eastAsia="Calibri" w:hAnsi="Arial" w:cs="Arial"/>
          <w:spacing w:val="-1"/>
          <w:sz w:val="18"/>
          <w:szCs w:val="18"/>
        </w:rPr>
        <w:t xml:space="preserve"> se presenta </w:t>
      </w:r>
      <w:r w:rsidR="00203297" w:rsidRPr="00C67EA6">
        <w:rPr>
          <w:rFonts w:ascii="Arial" w:eastAsia="Calibri" w:hAnsi="Arial" w:cs="Arial"/>
          <w:spacing w:val="-1"/>
          <w:sz w:val="18"/>
          <w:szCs w:val="18"/>
        </w:rPr>
        <w:t>la relación</w:t>
      </w:r>
      <w:r w:rsidR="00924C30" w:rsidRPr="00C67EA6">
        <w:rPr>
          <w:rFonts w:ascii="Arial" w:eastAsia="Calibri" w:hAnsi="Arial" w:cs="Arial"/>
          <w:spacing w:val="-1"/>
          <w:sz w:val="18"/>
          <w:szCs w:val="18"/>
        </w:rPr>
        <w:t xml:space="preserve"> de las cuentas bancarias productivas específicas, en las cuales se depositaron los recursos federales </w:t>
      </w:r>
      <w:r w:rsidR="00A11078" w:rsidRPr="00C67EA6">
        <w:rPr>
          <w:rFonts w:ascii="Arial" w:eastAsia="Calibri" w:hAnsi="Arial" w:cs="Arial"/>
          <w:spacing w:val="-1"/>
          <w:sz w:val="18"/>
          <w:szCs w:val="18"/>
        </w:rPr>
        <w:t>que se recibieron durante el periodo del 1 de enero</w:t>
      </w:r>
      <w:r w:rsidR="00F769FC">
        <w:rPr>
          <w:rFonts w:ascii="Arial" w:eastAsia="Calibri" w:hAnsi="Arial" w:cs="Arial"/>
          <w:spacing w:val="-1"/>
          <w:sz w:val="18"/>
          <w:szCs w:val="18"/>
        </w:rPr>
        <w:t xml:space="preserve"> al </w:t>
      </w:r>
      <w:r w:rsidR="00A0442E">
        <w:rPr>
          <w:rFonts w:ascii="Arial" w:eastAsia="Calibri" w:hAnsi="Arial" w:cs="Arial"/>
          <w:spacing w:val="-1"/>
          <w:sz w:val="18"/>
          <w:szCs w:val="18"/>
        </w:rPr>
        <w:t>3</w:t>
      </w:r>
      <w:r w:rsidR="00FE016C">
        <w:rPr>
          <w:rFonts w:ascii="Arial" w:eastAsia="Calibri" w:hAnsi="Arial" w:cs="Arial"/>
          <w:spacing w:val="-1"/>
          <w:sz w:val="18"/>
          <w:szCs w:val="18"/>
        </w:rPr>
        <w:t>0</w:t>
      </w:r>
      <w:r w:rsidR="00220843">
        <w:rPr>
          <w:rFonts w:ascii="Arial" w:eastAsia="Calibri" w:hAnsi="Arial" w:cs="Arial"/>
          <w:spacing w:val="-1"/>
          <w:sz w:val="18"/>
          <w:szCs w:val="18"/>
        </w:rPr>
        <w:t xml:space="preserve"> de </w:t>
      </w:r>
      <w:r w:rsidR="00FA093C">
        <w:rPr>
          <w:rFonts w:ascii="Arial" w:eastAsia="Calibri" w:hAnsi="Arial" w:cs="Arial"/>
          <w:spacing w:val="-1"/>
          <w:sz w:val="18"/>
          <w:szCs w:val="18"/>
        </w:rPr>
        <w:t>junio</w:t>
      </w:r>
      <w:r w:rsidR="0022084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C23F9A" w:rsidRPr="00C67EA6">
        <w:rPr>
          <w:rFonts w:ascii="Arial" w:eastAsia="Calibri" w:hAnsi="Arial" w:cs="Arial"/>
          <w:spacing w:val="-1"/>
          <w:sz w:val="18"/>
          <w:szCs w:val="18"/>
        </w:rPr>
        <w:t>del 202</w:t>
      </w:r>
      <w:r w:rsidR="004C2EA8">
        <w:rPr>
          <w:rFonts w:ascii="Arial" w:eastAsia="Calibri" w:hAnsi="Arial" w:cs="Arial"/>
          <w:spacing w:val="-1"/>
          <w:sz w:val="18"/>
          <w:szCs w:val="18"/>
        </w:rPr>
        <w:t>3</w:t>
      </w:r>
      <w:r w:rsidR="00924C30" w:rsidRPr="00C67EA6">
        <w:rPr>
          <w:rFonts w:ascii="Arial" w:eastAsia="Calibri" w:hAnsi="Arial" w:cs="Arial"/>
          <w:spacing w:val="-1"/>
          <w:sz w:val="18"/>
          <w:szCs w:val="18"/>
        </w:rPr>
        <w:t>,</w:t>
      </w:r>
      <w:r w:rsidR="00F156C7" w:rsidRPr="00C67EA6">
        <w:rPr>
          <w:rFonts w:ascii="Arial" w:eastAsia="Calibri" w:hAnsi="Arial" w:cs="Arial"/>
          <w:spacing w:val="-1"/>
          <w:sz w:val="18"/>
          <w:szCs w:val="18"/>
        </w:rPr>
        <w:t xml:space="preserve"> del presente organismo:</w:t>
      </w:r>
    </w:p>
    <w:p w14:paraId="259F89DC" w14:textId="77777777" w:rsidR="00022C27" w:rsidRPr="00C67EA6" w:rsidRDefault="00022C27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8"/>
          <w:szCs w:val="18"/>
        </w:rPr>
      </w:pPr>
    </w:p>
    <w:p w14:paraId="74787650" w14:textId="77777777" w:rsidR="002F1704" w:rsidRPr="00C67EA6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8"/>
          <w:szCs w:val="18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626"/>
        <w:gridCol w:w="3454"/>
      </w:tblGrid>
      <w:tr w:rsidR="00FA093C" w14:paraId="2CE06E76" w14:textId="77777777" w:rsidTr="00FA093C">
        <w:trPr>
          <w:trHeight w:val="288"/>
          <w:jc w:val="center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7688"/>
            <w:noWrap/>
            <w:vAlign w:val="center"/>
            <w:hideMark/>
          </w:tcPr>
          <w:p w14:paraId="60168E7C" w14:textId="77777777" w:rsidR="00FA093C" w:rsidRDefault="00FA09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Fondo, Programa o Convenio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C7688"/>
            <w:noWrap/>
            <w:vAlign w:val="center"/>
            <w:hideMark/>
          </w:tcPr>
          <w:p w14:paraId="5C6514EB" w14:textId="77777777" w:rsidR="00FA093C" w:rsidRDefault="00FA09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Datos de la Cuenta Bancaria</w:t>
            </w:r>
          </w:p>
        </w:tc>
      </w:tr>
      <w:tr w:rsidR="00FA093C" w14:paraId="113E1D37" w14:textId="77777777" w:rsidTr="00FA093C">
        <w:trPr>
          <w:trHeight w:val="288"/>
          <w:jc w:val="center"/>
        </w:trPr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7EB5" w14:textId="77777777" w:rsidR="00FA093C" w:rsidRDefault="00FA093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C7688"/>
            <w:noWrap/>
            <w:vAlign w:val="center"/>
            <w:hideMark/>
          </w:tcPr>
          <w:p w14:paraId="7CDBB76C" w14:textId="77777777" w:rsidR="00FA093C" w:rsidRDefault="00FA09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Institución Bancaria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C7688"/>
            <w:noWrap/>
            <w:vAlign w:val="center"/>
            <w:hideMark/>
          </w:tcPr>
          <w:p w14:paraId="1418A9FD" w14:textId="77777777" w:rsidR="00FA093C" w:rsidRDefault="00FA09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Número de Cuenta</w:t>
            </w:r>
          </w:p>
        </w:tc>
      </w:tr>
      <w:tr w:rsidR="00FA093C" w14:paraId="31B744A0" w14:textId="77777777" w:rsidTr="00FA093C">
        <w:trPr>
          <w:trHeight w:val="288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357" w14:textId="77777777" w:rsidR="00FA093C" w:rsidRDefault="00FA09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Convenio de Colaboración Conac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877" w14:textId="77777777" w:rsidR="00FA093C" w:rsidRDefault="00FA09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BBVA Bancomer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820" w14:textId="77777777" w:rsidR="00FA093C" w:rsidRDefault="00FA09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0120332046</w:t>
            </w:r>
          </w:p>
        </w:tc>
      </w:tr>
    </w:tbl>
    <w:p w14:paraId="1662028A" w14:textId="77777777" w:rsidR="00302481" w:rsidRPr="00C67EA6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14:paraId="49082D5E" w14:textId="77777777" w:rsidR="00F279D8" w:rsidRPr="00C67EA6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XSpec="center" w:tblpY="448"/>
        <w:tblW w:w="12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DD68AB" w:rsidRPr="00C67EA6" w14:paraId="6A5FA604" w14:textId="77777777" w:rsidTr="00DD68AB">
        <w:trPr>
          <w:trHeight w:val="300"/>
        </w:trPr>
        <w:tc>
          <w:tcPr>
            <w:tcW w:w="5840" w:type="dxa"/>
            <w:shd w:val="clear" w:color="000000" w:fill="FFFFFF"/>
            <w:noWrap/>
            <w:vAlign w:val="bottom"/>
            <w:hideMark/>
          </w:tcPr>
          <w:p w14:paraId="1E6A0377" w14:textId="77777777" w:rsidR="00DD68AB" w:rsidRPr="00827938" w:rsidRDefault="00DD68AB" w:rsidP="00DD68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7938">
              <w:rPr>
                <w:rFonts w:ascii="Arial" w:hAnsi="Arial" w:cs="Arial"/>
                <w:sz w:val="17"/>
                <w:szCs w:val="17"/>
              </w:rPr>
              <w:t>______________________________________________</w:t>
            </w:r>
          </w:p>
          <w:p w14:paraId="6413A2BD" w14:textId="6E064B7F" w:rsidR="00DD68AB" w:rsidRPr="00827938" w:rsidRDefault="00DD68AB" w:rsidP="00DD68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7938">
              <w:rPr>
                <w:rFonts w:ascii="Arial" w:hAnsi="Arial" w:cs="Arial"/>
                <w:sz w:val="17"/>
                <w:szCs w:val="17"/>
              </w:rPr>
              <w:t xml:space="preserve">C.P. </w:t>
            </w:r>
            <w:r w:rsidRPr="00DD68AB">
              <w:rPr>
                <w:rFonts w:ascii="Arial" w:hAnsi="Arial" w:cs="Arial"/>
                <w:sz w:val="17"/>
                <w:szCs w:val="17"/>
              </w:rPr>
              <w:t>María Jacqueline Ortega Silva</w:t>
            </w:r>
          </w:p>
          <w:p w14:paraId="0954539A" w14:textId="0366C625" w:rsidR="00DD68AB" w:rsidRPr="00827938" w:rsidRDefault="00DD68AB" w:rsidP="00DD68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68AB">
              <w:rPr>
                <w:rFonts w:ascii="Arial" w:hAnsi="Arial" w:cs="Arial"/>
                <w:sz w:val="17"/>
                <w:szCs w:val="17"/>
              </w:rPr>
              <w:t>Coordinadora General Administrativa</w:t>
            </w:r>
          </w:p>
        </w:tc>
        <w:tc>
          <w:tcPr>
            <w:tcW w:w="280" w:type="dxa"/>
            <w:shd w:val="clear" w:color="000000" w:fill="FFFFFF"/>
            <w:noWrap/>
            <w:vAlign w:val="bottom"/>
          </w:tcPr>
          <w:p w14:paraId="0317E249" w14:textId="77777777" w:rsidR="00DD68AB" w:rsidRPr="00827938" w:rsidRDefault="00DD68AB" w:rsidP="00DD68A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6" w:type="dxa"/>
            <w:shd w:val="clear" w:color="000000" w:fill="FFFFFF"/>
            <w:noWrap/>
            <w:vAlign w:val="bottom"/>
          </w:tcPr>
          <w:p w14:paraId="4650CBDB" w14:textId="77777777" w:rsidR="00DD68AB" w:rsidRPr="00827938" w:rsidRDefault="00DD68AB" w:rsidP="00DD68A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  <w:hideMark/>
          </w:tcPr>
          <w:p w14:paraId="24A97963" w14:textId="77777777" w:rsidR="00DD68AB" w:rsidRPr="00827938" w:rsidRDefault="00DD68AB" w:rsidP="00DD68AB">
            <w:pPr>
              <w:rPr>
                <w:rFonts w:ascii="Arial" w:hAnsi="Arial" w:cs="Arial"/>
                <w:sz w:val="17"/>
                <w:szCs w:val="17"/>
              </w:rPr>
            </w:pPr>
            <w:r w:rsidRPr="00827938">
              <w:rPr>
                <w:rFonts w:ascii="Arial" w:hAnsi="Arial" w:cs="Arial"/>
                <w:sz w:val="17"/>
                <w:szCs w:val="17"/>
              </w:rPr>
              <w:t xml:space="preserve">        ________________________________________________</w:t>
            </w:r>
          </w:p>
          <w:p w14:paraId="14A299DE" w14:textId="77777777" w:rsidR="00DD68AB" w:rsidRPr="00827938" w:rsidRDefault="00DD68AB" w:rsidP="00DD68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7938">
              <w:rPr>
                <w:rFonts w:ascii="Arial" w:hAnsi="Arial" w:cs="Arial"/>
                <w:sz w:val="17"/>
                <w:szCs w:val="17"/>
              </w:rPr>
              <w:t>Lic. Maribel Pérez Silva</w:t>
            </w:r>
          </w:p>
          <w:p w14:paraId="34BDA495" w14:textId="5E1371F2" w:rsidR="00DD68AB" w:rsidRPr="00827938" w:rsidRDefault="00DD68AB" w:rsidP="00DD68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7938">
              <w:rPr>
                <w:rFonts w:ascii="Arial" w:hAnsi="Arial" w:cs="Arial"/>
                <w:sz w:val="17"/>
                <w:szCs w:val="17"/>
              </w:rPr>
              <w:t>Directora de Recursos Financieros, Administrativos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27938">
              <w:rPr>
                <w:rFonts w:ascii="Arial" w:hAnsi="Arial" w:cs="Arial"/>
                <w:sz w:val="17"/>
                <w:szCs w:val="17"/>
              </w:rPr>
              <w:t>y Tecnológicos</w:t>
            </w:r>
          </w:p>
        </w:tc>
      </w:tr>
    </w:tbl>
    <w:p w14:paraId="66286E72" w14:textId="77777777" w:rsidR="00E1144D" w:rsidRPr="00C67EA6" w:rsidRDefault="00E1144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8"/>
          <w:szCs w:val="18"/>
          <w:lang w:eastAsia="es-ES"/>
        </w:rPr>
      </w:pPr>
    </w:p>
    <w:p w14:paraId="3821E5B4" w14:textId="77777777" w:rsidR="00E1144D" w:rsidRPr="00C67EA6" w:rsidRDefault="00E1144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8"/>
          <w:szCs w:val="18"/>
          <w:lang w:eastAsia="es-ES"/>
        </w:rPr>
      </w:pPr>
    </w:p>
    <w:p w14:paraId="0775FF83" w14:textId="77777777" w:rsidR="008053D2" w:rsidRPr="00C67EA6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8"/>
          <w:szCs w:val="18"/>
          <w:lang w:eastAsia="es-ES"/>
        </w:rPr>
      </w:pPr>
    </w:p>
    <w:p w14:paraId="54D80541" w14:textId="77777777" w:rsidR="008053D2" w:rsidRPr="00C67EA6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8"/>
          <w:szCs w:val="18"/>
          <w:lang w:eastAsia="es-ES"/>
        </w:rPr>
      </w:pPr>
    </w:p>
    <w:p w14:paraId="7E4E5F15" w14:textId="77777777" w:rsidR="00E1144D" w:rsidRPr="00C67EA6" w:rsidRDefault="00E1144D" w:rsidP="00E1144D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8"/>
          <w:szCs w:val="18"/>
        </w:rPr>
      </w:pPr>
    </w:p>
    <w:p w14:paraId="1FA2ABFB" w14:textId="77777777" w:rsidR="00E1144D" w:rsidRPr="00C67EA6" w:rsidRDefault="00E1144D" w:rsidP="00E1144D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</w:tblGrid>
      <w:tr w:rsidR="00DD68AB" w:rsidRPr="00DD68AB" w14:paraId="7050C1B1" w14:textId="77777777" w:rsidTr="007233EA">
        <w:trPr>
          <w:trHeight w:val="306"/>
        </w:trPr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14:paraId="54E1AA57" w14:textId="2580D250" w:rsidR="00DD68AB" w:rsidRPr="00DD68AB" w:rsidRDefault="00DD68AB" w:rsidP="00DD68AB">
            <w:pPr>
              <w:autoSpaceDE w:val="0"/>
              <w:autoSpaceDN w:val="0"/>
              <w:adjustRightInd w:val="0"/>
              <w:spacing w:before="80" w:line="250" w:lineRule="exact"/>
              <w:jc w:val="center"/>
              <w:rPr>
                <w:rFonts w:ascii="Arial" w:hAnsi="Arial" w:cs="Arial"/>
                <w:bCs/>
                <w:iCs/>
                <w:sz w:val="17"/>
                <w:szCs w:val="17"/>
                <w:lang w:eastAsia="es-ES"/>
              </w:rPr>
            </w:pPr>
            <w:r w:rsidRPr="00DD68AB">
              <w:rPr>
                <w:rFonts w:ascii="Arial" w:hAnsi="Arial" w:cs="Arial"/>
                <w:bCs/>
                <w:iCs/>
                <w:sz w:val="17"/>
                <w:szCs w:val="17"/>
                <w:lang w:eastAsia="es-ES"/>
              </w:rPr>
              <w:t>C.P. Martha Barrera Ledesma</w:t>
            </w:r>
          </w:p>
        </w:tc>
      </w:tr>
      <w:tr w:rsidR="00DD68AB" w:rsidRPr="00DD68AB" w14:paraId="1F0B8E3D" w14:textId="77777777" w:rsidTr="007233EA">
        <w:trPr>
          <w:trHeight w:val="318"/>
        </w:trPr>
        <w:tc>
          <w:tcPr>
            <w:tcW w:w="4053" w:type="dxa"/>
            <w:vAlign w:val="center"/>
          </w:tcPr>
          <w:p w14:paraId="65238754" w14:textId="7CB171EB" w:rsidR="00DD68AB" w:rsidRPr="00DD68AB" w:rsidRDefault="00DD68AB" w:rsidP="00DD68AB">
            <w:pPr>
              <w:autoSpaceDE w:val="0"/>
              <w:autoSpaceDN w:val="0"/>
              <w:adjustRightInd w:val="0"/>
              <w:spacing w:before="80" w:line="250" w:lineRule="exact"/>
              <w:jc w:val="center"/>
              <w:rPr>
                <w:rFonts w:ascii="Arial" w:hAnsi="Arial" w:cs="Arial"/>
                <w:bCs/>
                <w:iCs/>
                <w:sz w:val="17"/>
                <w:szCs w:val="17"/>
                <w:lang w:eastAsia="es-ES"/>
              </w:rPr>
            </w:pPr>
            <w:r w:rsidRPr="00DD68AB">
              <w:rPr>
                <w:rFonts w:ascii="Arial" w:hAnsi="Arial" w:cs="Arial"/>
                <w:bCs/>
                <w:iCs/>
                <w:sz w:val="17"/>
                <w:szCs w:val="17"/>
                <w:lang w:eastAsia="es-ES"/>
              </w:rPr>
              <w:t>Titular de la Unidad de Contabilidad y Presupuesto</w:t>
            </w:r>
          </w:p>
        </w:tc>
      </w:tr>
    </w:tbl>
    <w:p w14:paraId="58B66EB2" w14:textId="77777777" w:rsidR="008053D2" w:rsidRPr="00C67EA6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8"/>
          <w:szCs w:val="18"/>
          <w:lang w:eastAsia="es-ES"/>
        </w:rPr>
      </w:pPr>
    </w:p>
    <w:sectPr w:rsidR="008053D2" w:rsidRPr="00C67EA6" w:rsidSect="00F351E1">
      <w:headerReference w:type="even" r:id="rId13"/>
      <w:footerReference w:type="even" r:id="rId14"/>
      <w:footerReference w:type="default" r:id="rId15"/>
      <w:type w:val="continuous"/>
      <w:pgSz w:w="15840" w:h="12240" w:orient="landscape" w:code="1"/>
      <w:pgMar w:top="1559" w:right="1134" w:bottom="1134" w:left="1134" w:header="851" w:footer="567" w:gutter="0"/>
      <w:paperSrc w:first="7" w:other="7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98B3" w14:textId="77777777" w:rsidR="0068345F" w:rsidRDefault="0068345F">
      <w:r>
        <w:separator/>
      </w:r>
    </w:p>
  </w:endnote>
  <w:endnote w:type="continuationSeparator" w:id="0">
    <w:p w14:paraId="1932A6D9" w14:textId="77777777" w:rsidR="0068345F" w:rsidRDefault="0068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57F4" w14:textId="1349BE06" w:rsidR="00AA7547" w:rsidRPr="00CF00D0" w:rsidRDefault="000F2E76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B4FF1E" wp14:editId="67ABD51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0" b="0"/>
              <wp:wrapSquare wrapText="bothSides"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FB10FA5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" fillcolor="#a5a5a5 [3206]" strokecolor="#525252 [1606]" strokeweight="1pt">
              <v:path arrowok="t"/>
              <w10:wrap type="square" anchorx="margin" anchory="margin"/>
            </v:rect>
          </w:pict>
        </mc:Fallback>
      </mc:AlternateConten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="004E32BE"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="004E32BE"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90956">
      <w:rPr>
        <w:rFonts w:ascii="Avenir LT Std 45 Book" w:hAnsi="Avenir LT Std 45 Book" w:cs="Arial"/>
        <w:noProof/>
        <w:color w:val="808080"/>
        <w:szCs w:val="20"/>
      </w:rPr>
      <w:t>2</w:t>
    </w:r>
    <w:r w:rsidR="004E32BE"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="002B34AE">
      <w:rPr>
        <w:rFonts w:ascii="Avenir LT Std 45 Book" w:hAnsi="Avenir LT Std 45 Book" w:cs="Arial"/>
        <w:noProof/>
        <w:color w:val="808080"/>
        <w:szCs w:val="20"/>
      </w:rPr>
      <w:fldChar w:fldCharType="begin"/>
    </w:r>
    <w:r w:rsidR="002B34AE">
      <w:rPr>
        <w:rFonts w:ascii="Avenir LT Std 45 Book" w:hAnsi="Avenir LT Std 45 Book" w:cs="Arial"/>
        <w:noProof/>
        <w:color w:val="808080"/>
        <w:szCs w:val="20"/>
      </w:rPr>
      <w:instrText xml:space="preserve"> NUMPAGES   \* MERGEFORMAT </w:instrText>
    </w:r>
    <w:r w:rsidR="002B34AE">
      <w:rPr>
        <w:rFonts w:ascii="Avenir LT Std 45 Book" w:hAnsi="Avenir LT Std 45 Book" w:cs="Arial"/>
        <w:noProof/>
        <w:color w:val="808080"/>
        <w:szCs w:val="20"/>
      </w:rPr>
      <w:fldChar w:fldCharType="separate"/>
    </w:r>
    <w:r w:rsidR="00790956">
      <w:rPr>
        <w:rFonts w:ascii="Avenir LT Std 45 Book" w:hAnsi="Avenir LT Std 45 Book" w:cs="Arial"/>
        <w:noProof/>
        <w:color w:val="808080"/>
        <w:szCs w:val="20"/>
      </w:rPr>
      <w:t>2</w:t>
    </w:r>
    <w:r w:rsidR="002B34AE">
      <w:rPr>
        <w:rFonts w:ascii="Avenir LT Std 45 Book" w:hAnsi="Avenir LT Std 45 Book" w:cs="Arial"/>
        <w:noProof/>
        <w:color w:val="808080"/>
        <w:szCs w:val="20"/>
      </w:rPr>
      <w:fldChar w:fldCharType="end"/>
    </w:r>
  </w:p>
  <w:p w14:paraId="03882374" w14:textId="77777777"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1DB6" w14:textId="77777777"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>
      <w:rPr>
        <w:rFonts w:ascii="Avenir LT Std 45 Book" w:hAnsi="Avenir LT Std 45 Book" w:cs="Arial"/>
        <w:color w:val="80808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D49F" w14:textId="77777777" w:rsidR="0068345F" w:rsidRDefault="0068345F">
      <w:r>
        <w:separator/>
      </w:r>
    </w:p>
  </w:footnote>
  <w:footnote w:type="continuationSeparator" w:id="0">
    <w:p w14:paraId="5E03252A" w14:textId="77777777" w:rsidR="0068345F" w:rsidRDefault="0068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9FBD" w14:textId="77777777"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1AB1E674" wp14:editId="35E2BF0B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E7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C7C6BC" wp14:editId="49200DE9">
              <wp:simplePos x="0" y="0"/>
              <wp:positionH relativeFrom="margin">
                <wp:align>right</wp:align>
              </wp:positionH>
              <wp:positionV relativeFrom="paragraph">
                <wp:posOffset>-97155</wp:posOffset>
              </wp:positionV>
              <wp:extent cx="1940560" cy="308610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A1610" w14:textId="77777777"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7C6B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" stroked="f">
              <v:textbox>
                <w:txbxContent>
                  <w:p w14:paraId="461A1610" w14:textId="77777777"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2E7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287E5" wp14:editId="5AE45DBE">
              <wp:simplePos x="0" y="0"/>
              <wp:positionH relativeFrom="column">
                <wp:posOffset>6488430</wp:posOffset>
              </wp:positionH>
              <wp:positionV relativeFrom="paragraph">
                <wp:posOffset>-422275</wp:posOffset>
              </wp:positionV>
              <wp:extent cx="1940560" cy="39814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A25A9" w14:textId="77777777"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14:paraId="27F3C499" w14:textId="77777777"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287E5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" stroked="f">
              <v:textbox>
                <w:txbxContent>
                  <w:p w14:paraId="6C2A25A9" w14:textId="77777777"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14:paraId="27F3C499" w14:textId="77777777"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 w:rsidR="000F2E76">
      <w:rPr>
        <w:rFonts w:ascii="Arial" w:hAnsi="Arial" w:cs="Arial"/>
        <w:b/>
        <w:caps/>
        <w:noProof/>
        <w:color w:val="80808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ED1E1D" wp14:editId="74A8FB13">
              <wp:simplePos x="0" y="0"/>
              <wp:positionH relativeFrom="margin">
                <wp:align>left</wp:align>
              </wp:positionH>
              <wp:positionV relativeFrom="paragraph">
                <wp:posOffset>268605</wp:posOffset>
              </wp:positionV>
              <wp:extent cx="8442960" cy="4572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42960" cy="45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EC6B06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" fillcolor="#a5a5a5 [3206]" strokecolor="#525252 [1606]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332296">
    <w:abstractNumId w:val="38"/>
  </w:num>
  <w:num w:numId="2" w16cid:durableId="1262571581">
    <w:abstractNumId w:val="20"/>
  </w:num>
  <w:num w:numId="3" w16cid:durableId="1792821971">
    <w:abstractNumId w:val="1"/>
  </w:num>
  <w:num w:numId="4" w16cid:durableId="3672909">
    <w:abstractNumId w:val="22"/>
  </w:num>
  <w:num w:numId="5" w16cid:durableId="1162431076">
    <w:abstractNumId w:val="18"/>
  </w:num>
  <w:num w:numId="6" w16cid:durableId="188420876">
    <w:abstractNumId w:val="0"/>
  </w:num>
  <w:num w:numId="7" w16cid:durableId="2072845191">
    <w:abstractNumId w:val="28"/>
  </w:num>
  <w:num w:numId="8" w16cid:durableId="393042801">
    <w:abstractNumId w:val="23"/>
  </w:num>
  <w:num w:numId="9" w16cid:durableId="1165588282">
    <w:abstractNumId w:val="2"/>
  </w:num>
  <w:num w:numId="10" w16cid:durableId="1556697070">
    <w:abstractNumId w:val="12"/>
  </w:num>
  <w:num w:numId="11" w16cid:durableId="1142120956">
    <w:abstractNumId w:val="24"/>
  </w:num>
  <w:num w:numId="12" w16cid:durableId="181667588">
    <w:abstractNumId w:val="3"/>
  </w:num>
  <w:num w:numId="13" w16cid:durableId="1951083331">
    <w:abstractNumId w:val="10"/>
  </w:num>
  <w:num w:numId="14" w16cid:durableId="258682174">
    <w:abstractNumId w:val="4"/>
  </w:num>
  <w:num w:numId="15" w16cid:durableId="621965019">
    <w:abstractNumId w:val="14"/>
  </w:num>
  <w:num w:numId="16" w16cid:durableId="685599466">
    <w:abstractNumId w:val="0"/>
  </w:num>
  <w:num w:numId="17" w16cid:durableId="684133000">
    <w:abstractNumId w:val="4"/>
  </w:num>
  <w:num w:numId="18" w16cid:durableId="1395356381">
    <w:abstractNumId w:val="39"/>
  </w:num>
  <w:num w:numId="19" w16cid:durableId="1411544282">
    <w:abstractNumId w:val="34"/>
  </w:num>
  <w:num w:numId="20" w16cid:durableId="1912277891">
    <w:abstractNumId w:val="41"/>
  </w:num>
  <w:num w:numId="21" w16cid:durableId="1363941662">
    <w:abstractNumId w:val="36"/>
  </w:num>
  <w:num w:numId="22" w16cid:durableId="1159728411">
    <w:abstractNumId w:val="32"/>
  </w:num>
  <w:num w:numId="23" w16cid:durableId="1554611241">
    <w:abstractNumId w:val="15"/>
  </w:num>
  <w:num w:numId="24" w16cid:durableId="1928659102">
    <w:abstractNumId w:val="30"/>
  </w:num>
  <w:num w:numId="25" w16cid:durableId="1686665408">
    <w:abstractNumId w:val="9"/>
  </w:num>
  <w:num w:numId="26" w16cid:durableId="71899117">
    <w:abstractNumId w:val="19"/>
  </w:num>
  <w:num w:numId="27" w16cid:durableId="370694637">
    <w:abstractNumId w:val="29"/>
  </w:num>
  <w:num w:numId="28" w16cid:durableId="1738937334">
    <w:abstractNumId w:val="33"/>
  </w:num>
  <w:num w:numId="29" w16cid:durableId="749037051">
    <w:abstractNumId w:val="37"/>
  </w:num>
  <w:num w:numId="30" w16cid:durableId="724448641">
    <w:abstractNumId w:val="6"/>
  </w:num>
  <w:num w:numId="31" w16cid:durableId="1484128434">
    <w:abstractNumId w:val="5"/>
  </w:num>
  <w:num w:numId="32" w16cid:durableId="821234644">
    <w:abstractNumId w:val="11"/>
  </w:num>
  <w:num w:numId="33" w16cid:durableId="1402941328">
    <w:abstractNumId w:val="27"/>
  </w:num>
  <w:num w:numId="34" w16cid:durableId="1990286958">
    <w:abstractNumId w:val="26"/>
  </w:num>
  <w:num w:numId="35" w16cid:durableId="411702985">
    <w:abstractNumId w:val="17"/>
  </w:num>
  <w:num w:numId="36" w16cid:durableId="400559948">
    <w:abstractNumId w:val="40"/>
  </w:num>
  <w:num w:numId="37" w16cid:durableId="111018319">
    <w:abstractNumId w:val="16"/>
  </w:num>
  <w:num w:numId="38" w16cid:durableId="1211381697">
    <w:abstractNumId w:val="21"/>
  </w:num>
  <w:num w:numId="39" w16cid:durableId="1484925165">
    <w:abstractNumId w:val="8"/>
  </w:num>
  <w:num w:numId="40" w16cid:durableId="397942955">
    <w:abstractNumId w:val="31"/>
  </w:num>
  <w:num w:numId="41" w16cid:durableId="1650091285">
    <w:abstractNumId w:val="13"/>
  </w:num>
  <w:num w:numId="42" w16cid:durableId="1864829525">
    <w:abstractNumId w:val="7"/>
  </w:num>
  <w:num w:numId="43" w16cid:durableId="2102604530">
    <w:abstractNumId w:val="25"/>
  </w:num>
  <w:num w:numId="44" w16cid:durableId="132169309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A2"/>
    <w:rsid w:val="00000166"/>
    <w:rsid w:val="000008C2"/>
    <w:rsid w:val="00002052"/>
    <w:rsid w:val="00003379"/>
    <w:rsid w:val="0000365A"/>
    <w:rsid w:val="00004831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2C27"/>
    <w:rsid w:val="00024D06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50"/>
    <w:rsid w:val="00072CB2"/>
    <w:rsid w:val="00072E8E"/>
    <w:rsid w:val="00072F8B"/>
    <w:rsid w:val="00074B74"/>
    <w:rsid w:val="00075E8D"/>
    <w:rsid w:val="0007770A"/>
    <w:rsid w:val="00077BF0"/>
    <w:rsid w:val="00080148"/>
    <w:rsid w:val="0008014E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3B2F"/>
    <w:rsid w:val="00094DD0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42A7"/>
    <w:rsid w:val="000B594C"/>
    <w:rsid w:val="000B5B5B"/>
    <w:rsid w:val="000B6CF1"/>
    <w:rsid w:val="000B6E2E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37F"/>
    <w:rsid w:val="000F17A5"/>
    <w:rsid w:val="000F2A98"/>
    <w:rsid w:val="000F2E76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160B"/>
    <w:rsid w:val="00114B14"/>
    <w:rsid w:val="00115B5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5D5"/>
    <w:rsid w:val="00137D20"/>
    <w:rsid w:val="0014089D"/>
    <w:rsid w:val="00141457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3F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BD8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7FE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1C22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6FF8"/>
    <w:rsid w:val="00200A51"/>
    <w:rsid w:val="002015DB"/>
    <w:rsid w:val="00201E62"/>
    <w:rsid w:val="002020EC"/>
    <w:rsid w:val="00203297"/>
    <w:rsid w:val="00203925"/>
    <w:rsid w:val="00203F78"/>
    <w:rsid w:val="00205485"/>
    <w:rsid w:val="00205530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843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65F21"/>
    <w:rsid w:val="00270E6F"/>
    <w:rsid w:val="0027121D"/>
    <w:rsid w:val="00273FF7"/>
    <w:rsid w:val="002746C5"/>
    <w:rsid w:val="002746E2"/>
    <w:rsid w:val="00275FC6"/>
    <w:rsid w:val="002809DB"/>
    <w:rsid w:val="002816CA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4AE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E7FBA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599B"/>
    <w:rsid w:val="0031662D"/>
    <w:rsid w:val="003201EB"/>
    <w:rsid w:val="00320778"/>
    <w:rsid w:val="00320E4E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27EB"/>
    <w:rsid w:val="00353E1D"/>
    <w:rsid w:val="003556AE"/>
    <w:rsid w:val="003560BA"/>
    <w:rsid w:val="00356F83"/>
    <w:rsid w:val="00357944"/>
    <w:rsid w:val="00357BCC"/>
    <w:rsid w:val="0036144D"/>
    <w:rsid w:val="00361475"/>
    <w:rsid w:val="003617C9"/>
    <w:rsid w:val="0036275C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1A4"/>
    <w:rsid w:val="0037720F"/>
    <w:rsid w:val="0037725B"/>
    <w:rsid w:val="003779D7"/>
    <w:rsid w:val="003805E8"/>
    <w:rsid w:val="0038506C"/>
    <w:rsid w:val="00385B39"/>
    <w:rsid w:val="003869AF"/>
    <w:rsid w:val="00386AC3"/>
    <w:rsid w:val="00386D83"/>
    <w:rsid w:val="0039020E"/>
    <w:rsid w:val="00390DD5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A07"/>
    <w:rsid w:val="003B5C50"/>
    <w:rsid w:val="003B5D25"/>
    <w:rsid w:val="003B7496"/>
    <w:rsid w:val="003B75E0"/>
    <w:rsid w:val="003B7779"/>
    <w:rsid w:val="003C1742"/>
    <w:rsid w:val="003C1765"/>
    <w:rsid w:val="003C2087"/>
    <w:rsid w:val="003C22D2"/>
    <w:rsid w:val="003C24B5"/>
    <w:rsid w:val="003C4CBC"/>
    <w:rsid w:val="003C5A2A"/>
    <w:rsid w:val="003C6283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0E5A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5A16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67D36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EA8"/>
    <w:rsid w:val="004C2FFF"/>
    <w:rsid w:val="004C339D"/>
    <w:rsid w:val="004C4FF6"/>
    <w:rsid w:val="004C60BE"/>
    <w:rsid w:val="004C6236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219"/>
    <w:rsid w:val="004D6633"/>
    <w:rsid w:val="004E096E"/>
    <w:rsid w:val="004E09B5"/>
    <w:rsid w:val="004E2C58"/>
    <w:rsid w:val="004E30E7"/>
    <w:rsid w:val="004E32BE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7E"/>
    <w:rsid w:val="005206EF"/>
    <w:rsid w:val="005207C4"/>
    <w:rsid w:val="00525356"/>
    <w:rsid w:val="0052576B"/>
    <w:rsid w:val="005265BA"/>
    <w:rsid w:val="00530766"/>
    <w:rsid w:val="005326FA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4117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E20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2D7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4B8B"/>
    <w:rsid w:val="005C5B60"/>
    <w:rsid w:val="005C5B6E"/>
    <w:rsid w:val="005C73AA"/>
    <w:rsid w:val="005D1668"/>
    <w:rsid w:val="005D2A12"/>
    <w:rsid w:val="005D523C"/>
    <w:rsid w:val="005D6754"/>
    <w:rsid w:val="005D78A0"/>
    <w:rsid w:val="005E2891"/>
    <w:rsid w:val="005E2F50"/>
    <w:rsid w:val="005E54BD"/>
    <w:rsid w:val="005E56EC"/>
    <w:rsid w:val="005E62A0"/>
    <w:rsid w:val="005E62CF"/>
    <w:rsid w:val="005E633D"/>
    <w:rsid w:val="005E767D"/>
    <w:rsid w:val="005F1655"/>
    <w:rsid w:val="005F16E5"/>
    <w:rsid w:val="005F1A84"/>
    <w:rsid w:val="005F1B6C"/>
    <w:rsid w:val="005F3229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0150"/>
    <w:rsid w:val="006233B9"/>
    <w:rsid w:val="00623736"/>
    <w:rsid w:val="006248C4"/>
    <w:rsid w:val="006252D7"/>
    <w:rsid w:val="006257BF"/>
    <w:rsid w:val="00625B1D"/>
    <w:rsid w:val="00626039"/>
    <w:rsid w:val="00627A77"/>
    <w:rsid w:val="0063128B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4533"/>
    <w:rsid w:val="006569EC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66B55"/>
    <w:rsid w:val="00666BC0"/>
    <w:rsid w:val="00674D34"/>
    <w:rsid w:val="006758C9"/>
    <w:rsid w:val="00675CA5"/>
    <w:rsid w:val="00676058"/>
    <w:rsid w:val="00677D8C"/>
    <w:rsid w:val="0068040B"/>
    <w:rsid w:val="00681FD8"/>
    <w:rsid w:val="0068345F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04EE"/>
    <w:rsid w:val="006B1039"/>
    <w:rsid w:val="006B1667"/>
    <w:rsid w:val="006B35C9"/>
    <w:rsid w:val="006B4652"/>
    <w:rsid w:val="006B4DF1"/>
    <w:rsid w:val="006B6BCD"/>
    <w:rsid w:val="006B6D3C"/>
    <w:rsid w:val="006B71D9"/>
    <w:rsid w:val="006C2EE1"/>
    <w:rsid w:val="006C3A54"/>
    <w:rsid w:val="006C4627"/>
    <w:rsid w:val="006C6725"/>
    <w:rsid w:val="006C699E"/>
    <w:rsid w:val="006C6B9C"/>
    <w:rsid w:val="006C7258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086"/>
    <w:rsid w:val="006F13C2"/>
    <w:rsid w:val="006F1C6B"/>
    <w:rsid w:val="006F2CDC"/>
    <w:rsid w:val="006F2CE5"/>
    <w:rsid w:val="006F3766"/>
    <w:rsid w:val="006F43F3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3EA"/>
    <w:rsid w:val="00723C69"/>
    <w:rsid w:val="0073188F"/>
    <w:rsid w:val="007320B0"/>
    <w:rsid w:val="00734094"/>
    <w:rsid w:val="00737B98"/>
    <w:rsid w:val="00740A02"/>
    <w:rsid w:val="00742511"/>
    <w:rsid w:val="00742F7B"/>
    <w:rsid w:val="00743B5C"/>
    <w:rsid w:val="00745E54"/>
    <w:rsid w:val="007513B2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4F4D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956"/>
    <w:rsid w:val="00790B31"/>
    <w:rsid w:val="00791B32"/>
    <w:rsid w:val="007939EC"/>
    <w:rsid w:val="00793CBA"/>
    <w:rsid w:val="00793D0F"/>
    <w:rsid w:val="00793D64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7C"/>
    <w:rsid w:val="007B31D9"/>
    <w:rsid w:val="007B68D7"/>
    <w:rsid w:val="007B6A23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2B60"/>
    <w:rsid w:val="007E36D0"/>
    <w:rsid w:val="007E41EE"/>
    <w:rsid w:val="007E478D"/>
    <w:rsid w:val="007E6602"/>
    <w:rsid w:val="007E71D0"/>
    <w:rsid w:val="007F060F"/>
    <w:rsid w:val="007F369A"/>
    <w:rsid w:val="007F451F"/>
    <w:rsid w:val="007F5625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4CE1"/>
    <w:rsid w:val="00825E79"/>
    <w:rsid w:val="00827938"/>
    <w:rsid w:val="00827C56"/>
    <w:rsid w:val="00830707"/>
    <w:rsid w:val="00831A3C"/>
    <w:rsid w:val="00831F42"/>
    <w:rsid w:val="00832537"/>
    <w:rsid w:val="00834484"/>
    <w:rsid w:val="008347B1"/>
    <w:rsid w:val="0083498E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034C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0C5B"/>
    <w:rsid w:val="00891A88"/>
    <w:rsid w:val="0089449F"/>
    <w:rsid w:val="00894970"/>
    <w:rsid w:val="00896682"/>
    <w:rsid w:val="008A019D"/>
    <w:rsid w:val="008A21AB"/>
    <w:rsid w:val="008A2914"/>
    <w:rsid w:val="008A2CD2"/>
    <w:rsid w:val="008A2DB9"/>
    <w:rsid w:val="008A3517"/>
    <w:rsid w:val="008A46A5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56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7D9"/>
    <w:rsid w:val="008F7B73"/>
    <w:rsid w:val="009000FA"/>
    <w:rsid w:val="00901375"/>
    <w:rsid w:val="0090209E"/>
    <w:rsid w:val="00904E8A"/>
    <w:rsid w:val="00905285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08A6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4DE4"/>
    <w:rsid w:val="00996168"/>
    <w:rsid w:val="009976A1"/>
    <w:rsid w:val="00997B6C"/>
    <w:rsid w:val="00997F4C"/>
    <w:rsid w:val="009A0F85"/>
    <w:rsid w:val="009A1AD6"/>
    <w:rsid w:val="009A2838"/>
    <w:rsid w:val="009A3172"/>
    <w:rsid w:val="009A428E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13B6"/>
    <w:rsid w:val="009C233F"/>
    <w:rsid w:val="009C2B43"/>
    <w:rsid w:val="009C4213"/>
    <w:rsid w:val="009C5585"/>
    <w:rsid w:val="009C63F4"/>
    <w:rsid w:val="009C64AE"/>
    <w:rsid w:val="009C7213"/>
    <w:rsid w:val="009C78E4"/>
    <w:rsid w:val="009D05F5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15E5"/>
    <w:rsid w:val="009F2D7B"/>
    <w:rsid w:val="009F5108"/>
    <w:rsid w:val="009F53EF"/>
    <w:rsid w:val="009F561D"/>
    <w:rsid w:val="009F795B"/>
    <w:rsid w:val="00A005A0"/>
    <w:rsid w:val="00A0193F"/>
    <w:rsid w:val="00A0269E"/>
    <w:rsid w:val="00A0442E"/>
    <w:rsid w:val="00A0566B"/>
    <w:rsid w:val="00A07FD3"/>
    <w:rsid w:val="00A108F0"/>
    <w:rsid w:val="00A11078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04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1F85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46FB"/>
    <w:rsid w:val="00A75273"/>
    <w:rsid w:val="00A7552D"/>
    <w:rsid w:val="00A81715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04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9F1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3105"/>
    <w:rsid w:val="00AE4E01"/>
    <w:rsid w:val="00AE515C"/>
    <w:rsid w:val="00AE541B"/>
    <w:rsid w:val="00AE544D"/>
    <w:rsid w:val="00AE55D9"/>
    <w:rsid w:val="00AE708F"/>
    <w:rsid w:val="00AF0950"/>
    <w:rsid w:val="00AF2F3E"/>
    <w:rsid w:val="00AF4041"/>
    <w:rsid w:val="00AF4198"/>
    <w:rsid w:val="00AF5950"/>
    <w:rsid w:val="00AF636E"/>
    <w:rsid w:val="00AF6701"/>
    <w:rsid w:val="00AF6F63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5B78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6A51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78C"/>
    <w:rsid w:val="00B82898"/>
    <w:rsid w:val="00B83031"/>
    <w:rsid w:val="00B83E78"/>
    <w:rsid w:val="00B84FE7"/>
    <w:rsid w:val="00B8500D"/>
    <w:rsid w:val="00B85650"/>
    <w:rsid w:val="00B9008A"/>
    <w:rsid w:val="00B903EF"/>
    <w:rsid w:val="00B90E39"/>
    <w:rsid w:val="00B9168A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4D4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B76E5"/>
    <w:rsid w:val="00BC0DE0"/>
    <w:rsid w:val="00BC0EE8"/>
    <w:rsid w:val="00BC14AB"/>
    <w:rsid w:val="00BC2B83"/>
    <w:rsid w:val="00BC4BFF"/>
    <w:rsid w:val="00BC51F2"/>
    <w:rsid w:val="00BC5A5C"/>
    <w:rsid w:val="00BC7DE2"/>
    <w:rsid w:val="00BC7F74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84B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3F9A"/>
    <w:rsid w:val="00C24481"/>
    <w:rsid w:val="00C24B0A"/>
    <w:rsid w:val="00C27203"/>
    <w:rsid w:val="00C31B42"/>
    <w:rsid w:val="00C33C88"/>
    <w:rsid w:val="00C35F7F"/>
    <w:rsid w:val="00C37B0F"/>
    <w:rsid w:val="00C37C49"/>
    <w:rsid w:val="00C4091F"/>
    <w:rsid w:val="00C425E4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67EA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07E"/>
    <w:rsid w:val="00C82568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3B11"/>
    <w:rsid w:val="00CB3B9A"/>
    <w:rsid w:val="00CB54A2"/>
    <w:rsid w:val="00CB7D39"/>
    <w:rsid w:val="00CC22C1"/>
    <w:rsid w:val="00CC7034"/>
    <w:rsid w:val="00CD12A6"/>
    <w:rsid w:val="00CD293A"/>
    <w:rsid w:val="00CD3BA7"/>
    <w:rsid w:val="00CD47E1"/>
    <w:rsid w:val="00CD77E5"/>
    <w:rsid w:val="00CE0062"/>
    <w:rsid w:val="00CE377A"/>
    <w:rsid w:val="00CE3EE8"/>
    <w:rsid w:val="00CE4092"/>
    <w:rsid w:val="00CE473E"/>
    <w:rsid w:val="00CE52ED"/>
    <w:rsid w:val="00CE5C15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9FA"/>
    <w:rsid w:val="00D04A2B"/>
    <w:rsid w:val="00D0525E"/>
    <w:rsid w:val="00D06470"/>
    <w:rsid w:val="00D06D3D"/>
    <w:rsid w:val="00D06EDD"/>
    <w:rsid w:val="00D109E5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23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D68AB"/>
    <w:rsid w:val="00DE4749"/>
    <w:rsid w:val="00DF083D"/>
    <w:rsid w:val="00DF31EA"/>
    <w:rsid w:val="00DF3918"/>
    <w:rsid w:val="00DF45B6"/>
    <w:rsid w:val="00DF5BAB"/>
    <w:rsid w:val="00DF5E25"/>
    <w:rsid w:val="00DF6E5F"/>
    <w:rsid w:val="00DF74BA"/>
    <w:rsid w:val="00E03F6F"/>
    <w:rsid w:val="00E0405A"/>
    <w:rsid w:val="00E1144D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2305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A5BDA"/>
    <w:rsid w:val="00EA6EAA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1BD"/>
    <w:rsid w:val="00EC533C"/>
    <w:rsid w:val="00EC53CE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36C3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1E1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3E"/>
    <w:rsid w:val="00F7391F"/>
    <w:rsid w:val="00F739BA"/>
    <w:rsid w:val="00F739E1"/>
    <w:rsid w:val="00F751A1"/>
    <w:rsid w:val="00F75357"/>
    <w:rsid w:val="00F769FC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093C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15B5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16C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DAED0"/>
  <w15:docId w15:val="{C309A37C-E20C-401A-91E8-AC428C1A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2B2E6-DBBE-4F70-8E1F-F34DE4CAC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armando_godoy</dc:creator>
  <cp:lastModifiedBy>Isaí Guerrero</cp:lastModifiedBy>
  <cp:revision>37</cp:revision>
  <cp:lastPrinted>2023-07-04T18:17:00Z</cp:lastPrinted>
  <dcterms:created xsi:type="dcterms:W3CDTF">2022-10-05T17:29:00Z</dcterms:created>
  <dcterms:modified xsi:type="dcterms:W3CDTF">2023-07-04T18:17:00Z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